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LDG (Brandenburg) — Frist, Verfahren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auf Wiederaufnahme des Disziplinarverfahrens muss bei dem Gericht, dessen Entscheidung angefochten wird, binnen drei Monaten schriftlich oder zur Niederschrift des Urkundsbeamten der Geschäftsstelle eingereicht werden. Die Frist beginnt mit dem Tag, an dem der Antragsberechtigte von dem Grund für die Wiederaufnahme Kenntnis erhalten hat. In dem Antrag ist das angefochtene Urteil zu bezeichnen und anzugeben, inwieweit es angefochten wird und welche Änderungen beantragt werden; die Anträge sind unter Bezeichnung der Beweismittel zu begründen.</w:t>
      </w:r>
    </w:p>
    <w:p>
      <w:r>
        <w:t xml:space="preserve">(2) Im Wiederaufnahmeverfahren darf nicht tätig werden, wer an der den ersten oder zweiten Rechtszug abschließenden Entscheidung als Richter oder Beamtenbeisitzer mitgewirkt hat.</w:t>
      </w:r>
    </w:p>
    <w:p>
      <w:r>
        <w:t xml:space="preserve">(3) Für das weitere Verfahren gelten die Bestimmungen über das gerichtliche Verfahren entsprechend, soweit sich aus diesem Gesetz nichts Anderes ergibt.</w:t>
      </w:r>
    </w:p>
    <w:p>
      <w:r>
        <w:rPr>
          <w:color w:val="555555"/>
          <w:sz w:val="17"/>
        </w:rPr>
        <w:t xml:space="preserve">Zitiervorschlag: § 74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