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LDG (Brandenburg) — Geldbuße</w:t>
      </w:r>
    </w:p>
    <w:p>
      <w:r>
        <w:rPr>
          <w:color w:val="555555"/>
          <w:sz w:val="18"/>
        </w:rPr>
        <w:t xml:space="preserve">Landesdisziplinargesetz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Geldbuße kann bis zur Höhe der monatlichen Dienst- oder Anwärterbezüge des Beamten auferlegt werden. Hat der Beamte keine Dienst- oder Anwärterbezüge, darf die Geldbuße bis zu dem Betrag von 500 Euro auferlegt werden.</w:t>
      </w:r>
    </w:p>
    <w:p>
      <w:r>
        <w:t xml:space="preserve">(2) Die Geldbuße kann nach Eintritt der Unanfechtbarkeit der Entscheidung von den Dienst-, Anwärter- oder Versorgungsbezügen, vom Unterhaltsbeitrag oder von den nach § 41 nachzuzahlenden Bezügen abgezogen werden. Sie fließt dem Dienstherrn zu.</w:t>
      </w:r>
    </w:p>
    <w:p>
      <w:r>
        <w:rPr>
          <w:color w:val="555555"/>
          <w:sz w:val="17"/>
        </w:rPr>
        <w:t xml:space="preserve">Zitiervorschlag: § 7 LDG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https://recht.nulegal.eu/gesetze/LDG/7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