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LDG (Brandenburg) — Berufungsverfahren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das Berufungsverfahren gelten die Bestimmungen über das Verfahren vor dem Verwaltungsgericht entsprechend, soweit sich aus diesem Gesetz nichts Anderes ergibt.</w:t>
      </w:r>
    </w:p>
    <w:p>
      <w:r>
        <w:t xml:space="preserve">(2) Die durch das Verwaltungsgericht erhobenen Beweise können der Entscheidung ohne erneute Beweisaufnahme zugrunde gelegt werden.</w:t>
      </w:r>
    </w:p>
    <w:p>
      <w:r>
        <w:rPr>
          <w:color w:val="555555"/>
          <w:sz w:val="17"/>
        </w:rPr>
        <w:t xml:space="preserve">Zitiervorschlag: § 66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