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LDG (Brandenburg) — Wahl der Beamtenbeisitzer</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Beamtenbeisitzer werden von dem Ausschuss, der zur Wahl der ehrenamtlichen Richter bestellt ist (§ 26 der Verwaltungsgerichtsordnung), auf vier Jahre gewählt. Wird eine Nachwahl erforderlich, ist sie nur für den Rest der Amtszeit vorzunehmen.</w:t>
      </w:r>
    </w:p>
    <w:p>
      <w:r>
        <w:t xml:space="preserve">(2) Das für die Verwaltungsgerichtsbarkeit zuständige Ministerium stellt in jedem vierten Jahr eine Vorschlagsliste von Beamtenbeisitzern auf. Hierbei ist die doppelte Anzahl der durch den Präsidenten des Verwaltungsgerichts als erforderlich bezeichneten Beamtenbeisitzer zugrunde zu legen. Die obersten Landesbehörden, die im Land bestehenden Spitzenorganisationen der Gewerkschaften der Beamten und die kommunalen Spitzenverbände können für die Aufnahme von Beamten in die Liste Vorschläge machen. In den Listen sind die Beamten nach Laufbahngruppen und Verwaltungsbereichen gegliedert aufzuführen. Die Liste ist dem Präsidenten des Verwaltungsgerichts zuzusenden.</w:t>
      </w:r>
    </w:p>
    <w:p>
      <w:r>
        <w:rPr>
          <w:color w:val="555555"/>
          <w:sz w:val="17"/>
        </w:rPr>
        <w:t xml:space="preserve">Zitiervorschlag: § 48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