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LDG (Brandenburg) — Beamtenbeisitzer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Beamtenbeisitzer müssen auf Lebenszeit oder auf Zeit ernannte Beamte sein und bei ihrer Wahl bei einem brandenburgischen Dienstherrn beschäftigt sein.</w:t>
      </w:r>
    </w:p>
    <w:p>
      <w:r>
        <w:t xml:space="preserve">(2) Die §§ 20 bis 28 der Verwaltungsgerichtsordnung werden vorbehaltlich des § 51 Absatz 3 auf die Beamtenbeisitzer nicht angewandt.</w:t>
      </w:r>
    </w:p>
    <w:p>
      <w:r>
        <w:rPr>
          <w:color w:val="555555"/>
          <w:sz w:val="17"/>
        </w:rPr>
        <w:t xml:space="preserve">Zitiervorschlag: § 47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