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LDG (Brandenburg) — Wiederaufgreifen des Verfahrens</w:t>
      </w:r>
    </w:p>
    <w:p>
      <w:r>
        <w:rPr>
          <w:color w:val="555555"/>
          <w:sz w:val="18"/>
        </w:rPr>
        <w:t xml:space="preserve">Landesdisziplinargesetz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Ergeht nach dem Eintritt der Unanfechtbarkeit der Disziplinarverfügung in einem Straf- oder Bußgeldverfahren, das wegen desselben Sachverhalts eingeleitet worden ist, unanfechtbar eine Entscheidung, nach der gemäß § 14 die Disziplinarmaßnahme nicht zulässig wäre, ist die Disziplinarverfügung auf Antrag des Beamten von dem Dienstvorgesetzten, der sie erlassen hat, aufzuheben und das Disziplinarverfahren einzustellen. Im Übrigen gilt § 1 Absatz 1 Satz 1 des Verwaltungsverfahrensgesetzes für das Land Brandenburg in Verbindung mit § 51 Absatz 1 und 2 des Verwaltungsverfahrensgesetzes mit der Maßgabe, dass die Stelle, die die Disziplinarverfügung erlassen hat, über die Aufhebung oder Änderung einer unanfechtbaren Disziplinarverfügung zu entscheiden hat.</w:t>
      </w:r>
    </w:p>
    <w:p>
      <w:r>
        <w:t xml:space="preserve">(2) Die Antragsfrist beträgt drei Monate. Sie beginnt mit dem Tag, an dem der Beamte von der in Absatz 1 bezeichneten Entscheidung Kenntnis erhalten hat.</w:t>
      </w:r>
    </w:p>
    <w:p>
      <w:r>
        <w:t xml:space="preserve">(3) Wird eine unanfechtbare Disziplinarverfügung auf Antrag aufgehoben und das Disziplinarverfahren eingestellt, ist § 77 entsprechend anzuwenden.</w:t>
      </w:r>
    </w:p>
    <w:p>
      <w:r>
        <w:rPr>
          <w:color w:val="555555"/>
          <w:sz w:val="17"/>
        </w:rPr>
        <w:t xml:space="preserve">Zitiervorschlag: § 37 LDG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https://recht.nulegal.eu/gesetze/LDG/37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