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LDG (Brandenburg) — Beschlagnahmen und Durchsuchungen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Gericht kann auf Antrag durch Beschluss Beschlagnahmen und Durchsuchungen anordnen; § 26 Abs. 3 gilt entsprechend. Die Anordnung darf nur getroffen werden, wenn der Beamte des ihm zur Last gelegten Dienstvergehens dringend verdächtig ist und die Maßnahme zu der Bedeutung der Sache und der zu erwartenden Disziplinarmaßnahme nicht außer Verhältnis steht. Die Bestimmungen der Strafprozessordnung über Beschlagnahmen und Durchsuchungen gelten entsprechend, soweit nicht in diesem Gesetz etwas Anderes bestimmt ist.</w:t>
      </w:r>
    </w:p>
    <w:p>
      <w:r>
        <w:t xml:space="preserve">(2) Die Maßnahmen nach Absatz 1 dürfen nur durch die nach der Strafprozessordnung dazu berufenen Behörden durchgeführt werden.</w:t>
      </w:r>
    </w:p>
    <w:p>
      <w:r>
        <w:t xml:space="preserve">(3) Durch Absatz 1 wird das Grundrecht der Unverletzlichkeit der Wohnung (Artikel 13 Abs. 1 des Grundgesetzes und Artikel 15 Abs. 1 der Verfassung des Landes Brandenburg) eingeschränkt.</w:t>
      </w:r>
    </w:p>
    <w:p>
      <w:r>
        <w:rPr>
          <w:color w:val="555555"/>
          <w:sz w:val="17"/>
        </w:rPr>
        <w:t xml:space="preserve">Zitiervorschlag: § 28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