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 LDG NRW (Nordrhein-Westfalen) — Rechtswirkungen, Entschädigung</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in einem Wiederaufnahmeverfahren das angefochtene Urteil zugunsten der Beamtin oder des Beamten aufgehoben, erhält diese oder dieser von dem Eintritt der Rechtskraft des aufgehobenen Urteils an die Rechtsstellung, die sie oder er erhalten hätte, wenn das aufgehobene Urteil der Entscheidung entsprochen hätte, die im Wiederaufnahmeverfahren ergangen ist. Wurde in dem aufgehobenen Urteil auf Entfernung aus dem Beamtenverhältnis oder auf Aberkennung des Ruhegehalts erkannt, gilt § 29 des Landesbeamtengesetzes entsprechend.</w:t>
      </w:r>
    </w:p>
    <w:p>
      <w:r>
        <w:t xml:space="preserve">(2) Die Beamtin oder der Beamte und die Personen, gegenüber denen kraft Gesetzes eine Unterhaltspflicht besteht, können im Falle des Absatzes 1 neben den hiernach nachträglich zu gewährenden Bezügen in entsprechender Anwendung des Gesetzes über die Entschädigung für Strafverfolgungsmaßnahmen vom 8. März 1971 (BGBl. I S. 157) in der jeweils geltenden Fassung Ersatz des sonstigen Schadens vom Dienstherrn verlangen. Der Anspruch ist innerhalb von drei Monaten nach dem rechtskräftigen Abschluss des Wiederaufnahmeverfahrens bei der für die Erhebung der Disziplinarklage zuständigen Behörde geltend zu machen.</w:t>
      </w:r>
    </w:p>
    <w:p>
      <w:r>
        <w:t xml:space="preserve">Kapitel 6</w:t>
      </w:r>
    </w:p>
    <w:p>
      <w:r>
        <w:t xml:space="preserve">Kostenentscheidung</w:t>
      </w:r>
    </w:p>
    <w:p>
      <w:r>
        <w:t xml:space="preserve">im gerichtlichen Disziplinarverfahren</w:t>
      </w:r>
    </w:p>
    <w:p>
      <w:r>
        <w:rPr>
          <w:color w:val="555555"/>
          <w:sz w:val="17"/>
        </w:rPr>
        <w:t xml:space="preserve">Zitiervorschlag: § 73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https://recht.nulegal.eu/gesetze/LDG%20NRW/73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