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66 LDG NRW (Nordrhein-Westfalen) — Zulässigkeit</w:t>
      </w:r>
    </w:p>
    <w:p>
      <w:r>
        <w:rPr>
          <w:color w:val="555555"/>
          <w:sz w:val="18"/>
        </w:rPr>
        <w:t xml:space="preserve">Landesdisziplinargesetz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Gegen Beschlüsse des Verwaltungsgerichts steht den Beteiligten die Beschwerde an das Oberverwaltungsgericht zu, soweit nicht in diesem Gesetz oder der Verwaltungsgerichtsordnung etwas anderes bestimmt ist.</w:t>
      </w:r>
    </w:p>
    <w:p>
      <w:r>
        <w:t xml:space="preserve">Kapitel 4</w:t>
      </w:r>
    </w:p>
    <w:p>
      <w:r>
        <w:t xml:space="preserve">Disziplinarverfahren</w:t>
      </w:r>
    </w:p>
    <w:p>
      <w:r>
        <w:t xml:space="preserve">vor dem Bundesverwaltungsgericht</w:t>
      </w:r>
    </w:p>
    <w:p>
      <w:r>
        <w:rPr>
          <w:color w:val="555555"/>
          <w:sz w:val="17"/>
        </w:rPr>
        <w:t xml:space="preserve">Zitiervorschlag: § 66 LDG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https://recht.nulegal.eu/gesetze/LDG%20NRW/66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