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LDG NRW (Nordrhein-Westfalen) — Erhebung der Disziplinarklage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Disziplinarklage ist schriftlich zu erheben.</w:t>
      </w:r>
    </w:p>
    <w:p>
      <w:r>
        <w:t xml:space="preserve">(2) Die Klageschrift muss den persönlichen und beruflichen Werdegang der Beamtin oder des Beamten, den bisherigen Gang des Disziplinarverfahrens, die Tatsachen, in denen ein Dienstvergehen gesehen wird, und die anderen Tatsachen und Beweismittel, die für die Entscheidung bedeutsam sind, geordnet darstellen. Sie muss erkennen lassen, dass die Verhängung einer Maßnahme angestrebt wird, die nur mit einer Disziplinarklage verfolgt werden kann. Liegen die Voraussetzungen des § 23 Abs. 1 vor, kann wegen der Tatsachen, in denen ein Dienstvergehen gesehen wird, auf die bindenden Feststellungen der ihnen zugrunde liegenden Urteile verwiesen werden.</w:t>
      </w:r>
    </w:p>
    <w:p>
      <w:r>
        <w:rPr>
          <w:color w:val="555555"/>
          <w:sz w:val="17"/>
        </w:rPr>
        <w:t xml:space="preserve">Zitiervorschlag: § 52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