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LDG NRW (Nordrhein-Westfalen) — Zuständigkeit</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Aufgaben der Disziplinargerichtsbarkeit nach diesem Gesetz nehmen die Gerichte der Verwaltungsgerichtsbarkeit wahr. Hierzu werden bei den Verwaltungsgerichten in Düsseldorf und Münster Kammern und bei dem Oberverwaltungsgericht Senate für Disziplinarsachen gebildet.</w:t>
      </w:r>
    </w:p>
    <w:p>
      <w:r>
        <w:t xml:space="preserve">(2) Das Verwaltungsgericht Düsseldorf ist zuständig, wenn die Beamtin oder der Beamte im Zeitpunkt der Zustellung der Abschlussentscheidung oder der Erhebung der Disziplinarklage den dienstlichen Wohnsitz im Bereich der Regierungsbezirke Düsseldorf oder Köln oder außerhalb des Landes hat. Im Übrigen ist das Verwaltungsgericht Münster zuständig. Bei Ruhestandsbeamtinnen und Ruhestandsbeamten ist der Wohnsitz oder, wenn dieser außerhalb des Landes liegt, der letzte dienstliche Wohnsitz im Lande maßgeblich. Lag auch dieser außerhalb des Landes,gilt Satz 1 entsprechend.</w:t>
      </w:r>
    </w:p>
    <w:p>
      <w:r>
        <w:rPr>
          <w:color w:val="555555"/>
          <w:sz w:val="17"/>
        </w:rPr>
        <w:t xml:space="preserve">Zitiervorschlag: § 45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