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LDG NRW (Nordrhein-Westfalen) — Zulässigkeit</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für die Erhebung der Disziplinarklage zuständige Behörde kann eine Beamtin oder einen Beamten gleichzeitig mit oder nach der Einleitung des Disziplinarverfahrens vorläufig des Dienstes entheben, wenn im Disziplinarverfahren voraussichtlich auf Entfernung aus dem Beamtenverhältnis erkannt werden oder wenn bei einer Person im Beamtenverhältnis auf Probe oder auf Widerruf voraussichtlich eine Entlassung nach § 5 Abs. 3 in Verbindung mit § 23 Abs. 3 Nr. 1 und Abs. 4 des Beamtenstatusgesetzes erfolgen wird. Sie kann die Beamtin oder den Beamten außerdem vorläufig des Dienstes entheben, wenn durch das Verbleiben im Dienst der Dienstbetrieb oder die Ermittlungen wesentlich beeinträchtigt würden und die vorläufige Dienstenthebung zu der Bedeutung der Sache und der zu erwartenden Disziplinarmaßnahme nicht außer Verhältnis steht.</w:t>
      </w:r>
    </w:p>
    <w:p>
      <w:r>
        <w:t xml:space="preserve">(2) Die für die Erhebung der Disziplinarklage zuständige Behörde kann gleichzeitig mit oder nach der vorläufigen Dienstenthebung anordnen, dass bis zu 50 Prozent der monatlichen Dienst- oder Anwärterbezüge einbehalten werden, wenn im Disziplinarverfahren voraussichtlich auf Entfernung aus dem Beamtenverhältnis erkannt werden oder bei einer Person im Beamtenverhältnis auf Probe oder auf Widerruf voraussichtlich eine Entlassung nach § 5 Abs. 3 in Verbindung mit § 23 Abs. 3 Nr. 1 und Abs. 4 des Beamtenstatusgesetzes erfolgen wird.</w:t>
      </w:r>
    </w:p>
    <w:p>
      <w:r>
        <w:t xml:space="preserve">(3) Die nach § 81 zuständige Stelle kann gleichzeitig mit oder nach der Einleitung des Disziplinarverfahrens anordnen, dass bis zu 30 Prozent des Ruhegehalts einbehalten werden, wenn im Disziplinarverfahren voraussichtlich auf Aberkennung des Ruhegehalts erkannt werden wird.</w:t>
      </w:r>
    </w:p>
    <w:p>
      <w:r>
        <w:t xml:space="preserve">(4) Entscheidungen nach den Absätzen 1 bis 3 sind zuzustellen.</w:t>
      </w:r>
    </w:p>
    <w:p>
      <w:r>
        <w:rPr>
          <w:color w:val="555555"/>
          <w:sz w:val="17"/>
        </w:rPr>
        <w:t xml:space="preserve">Zitiervorschlag: § 38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