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LDG NRW (Nordrhein-Westfalen) — Verfahren bei nachträglicher Entscheidung im Straf- oder Bußgeldverfahren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Ergeht nach dem Eintritt der Unanfechtbarkeit der Disziplinarverfügung in einem Straf- oder Bußgeldverfahren, das wegen desselben Sachverhalts eingeleitet worden ist, unanfechtbar eine Entscheidung, nach der gemäß § 14 die Disziplinarmaßnahme nicht zulässig wäre, ist die Disziplinarverfügung auf Antrag der Beamtin oder des Beamten aufzuheben und das Disziplinarverfahren einzustellen.</w:t>
      </w:r>
    </w:p>
    <w:p>
      <w:r>
        <w:t xml:space="preserve">(2) Die Antragsfrist beträgt drei Monate. Sie beginnt mit dem Tag, an dem die Beamtin oder der Beamte von der in Absatz 1 bezeichneten Entscheidung Kenntnis erhält.</w:t>
      </w:r>
    </w:p>
    <w:p>
      <w:r>
        <w:rPr>
          <w:color w:val="555555"/>
          <w:sz w:val="17"/>
        </w:rPr>
        <w:t xml:space="preserve">Zitiervorschlag: § 36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