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LDG NRW (Nordrhein-Westfalen) — Ergänzende Anwendung des Verwaltungsverfahrensgesetzes und der Verwaltungsgerichtsordnung</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Ergänzung dieses Gesetzes sind die Bestimmungen des Verwaltungsverfahrensgesetzes und der Verwaltungsgerichtsordnung anzuwenden, soweit sie nicht zu den Bestimmungen dieses Gesetzes in Widerspruch stehen oder soweit nicht in diesem Gesetz etwas anderes bestimmt ist.</w:t>
      </w:r>
    </w:p>
    <w:p>
      <w:r>
        <w:t xml:space="preserve">(2) Soweit nach diesem Gesetz im Rahmen des behördlichen Verfahrens die Zustellung von Anordnungen und Entscheidungen vorgeschrieben ist, erfolgt diese nach dem Verwaltungszustellungsgesetz für das Land Nordrhein-Westfalen in der jeweils geltenden Fassung. Die Beamtin oder der Beamte muss Zustellungen unter der Anschrift gegen sich gelten lassen, die der dienstvorgesetzten Stelle angezeigt worden ist.</w:t>
      </w:r>
    </w:p>
    <w:p>
      <w:r>
        <w:rPr>
          <w:color w:val="555555"/>
          <w:sz w:val="17"/>
        </w:rPr>
        <w:t xml:space="preserve">Zitiervorschlag: § 3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