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LDG NRW (Nordrhein-Westfalen) — Verhältnis zum Strafverfahren und zu anderen Verfahren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Disziplinarverfahren ist auszusetzen, wenn wegen des Sachverhalts, der dem Disziplinarverfahren zugrunde liegt, im Strafverfahren die öffentliche Klage erhoben worden ist. Die Aussetzung unterbleibt, wenn keine begründeten Zweifel am Sachverhalt bestehen oder wenn im Strafverfahren aus Gründen nicht verhandelt werden kann, die in der Person der Beamtin oder des Beamten liegen. Das Disziplinarverfahren ist unverzüglich fortzusetzen, wenn die Voraussetzungen des Satzes 2 nachträglich eintreten, spätestens mit dem rechtskräftigen Abschluss des Strafverfahrens.</w:t>
      </w:r>
    </w:p>
    <w:p>
      <w:r>
        <w:t xml:space="preserve">(2) Das Disziplinarverfahren kann ausgesetzt werden, wenn in einem anderen gesetzlich geordneten Verfahren über eine Frage zu entscheiden ist, deren Beurteilung für die Entscheidung im Disziplinarverfahren von wesentlicher Bedeutung ist. Absatz 1 Satz 2 und 3 gilt entsprechend.</w:t>
      </w:r>
    </w:p>
    <w:p>
      <w:r>
        <w:rPr>
          <w:color w:val="555555"/>
          <w:sz w:val="17"/>
        </w:rPr>
        <w:t xml:space="preserve">Zitiervorschlag: § 22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