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LDG NRW (Nordrhein-Westfalen) — Pflicht zur Durchführung von Ermittlungen, Ausnahmen</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Aufklärung des Sachverhalts sind die erforderlichen Ermittlungen durchzuführen. Dabei sind die belastenden, die entlastenden und die Umstände zu ermitteln, die für die Bemessung einer Disziplinarmaßnahme bedeutsam sind. Das Ergebnis der Ermittlungen ist aktenkundig zu machen.</w:t>
      </w:r>
    </w:p>
    <w:p>
      <w:r>
        <w:t xml:space="preserve">(2) Von Ermittlungen ist abzusehen, soweit der Sachverhalt auf Grund der tatsächlichen Feststellungen eines rechtskräftigen Urteils im Straf- oder Bußgeldverfahren oder im verwaltungsgerichtlichen Verfahren, durch das nach § 11 Absatz 1 des Landesbesoldungsgesetzes vom 14. Juni 2016 (GV. NRW. S. 310) in der jeweils geltenden Fassung über den Verlust der Besoldung bei schuldhaftem Fernbleiben vom Dienst entschieden worden ist, feststeht. Von Ermittlungen kann auch abgesehen werden, soweit der Sachverhalt auf sonstige Weise aufgeklärt ist, insbesondere nach der Durchführung eines anderen gesetzlich geordneten Verfahrens.</w:t>
      </w:r>
    </w:p>
    <w:p>
      <w:r>
        <w:rPr>
          <w:color w:val="555555"/>
          <w:sz w:val="17"/>
        </w:rPr>
        <w:t xml:space="preserve">Zitiervorschlag: § 21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