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LChartbootV (Brandenburg) — Begriffsbestimmungen und anzuwendende Vorschriften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Sinne dieser Verordnung sind</w:t>
      </w:r>
    </w:p>
    <w:p>
      <w:r>
        <w:t xml:space="preserve">Sportboot</w:t>
      </w:r>
    </w:p>
    <w:p>
      <w:r>
        <w:t xml:space="preserve">ein für Sport- und Erholungszwecke verwendetes Wasserfahrzeug, das für die führerscheinfreie Vermietung vorgesehen ist, mit folgenden Parametern</w:t>
      </w:r>
    </w:p>
    <w:p>
      <w:r>
        <w:t xml:space="preserve">Antriebsleistung größer als 11,03 Kilowatt,</w:t>
      </w:r>
    </w:p>
    <w:p>
      <w:r>
        <w:t xml:space="preserve">Länge kleiner als 15 Meter,</w:t>
      </w:r>
    </w:p>
    <w:p>
      <w:r>
        <w:t xml:space="preserve">Höchstgeschwindigkeit gegenüber dem Ufer 12 Kilometer pro Stunde,</w:t>
      </w:r>
    </w:p>
    <w:p>
      <w:r>
        <w:t xml:space="preserve">maximale Personenanzahl 12.</w:t>
      </w:r>
    </w:p>
    <w:p>
      <w:r>
        <w:t xml:space="preserve">Vermietung</w:t>
      </w:r>
    </w:p>
    <w:p>
      <w:r>
        <w:t xml:space="preserve">gewerbsmäßige Überlassung eines Sportbootes nach Absatz 1 Nr. 1 gegen Zahlung eines Entgelts.</w:t>
      </w:r>
    </w:p>
    <w:p>
      <w:r>
        <w:t xml:space="preserve">Betriebsstätte</w:t>
      </w:r>
    </w:p>
    <w:p>
      <w:r>
        <w:t xml:space="preserve">Geschäftsstelle des Unternehmens, das an einem schiffbaren Landesgewässer nach Anlage 1 liegt und an dem das Unternehmen Sportboote nach Absatz 1 Nr. 1 zur Vermietung anbietet.</w:t>
      </w:r>
    </w:p>
    <w:p>
      <w:r>
        <w:t xml:space="preserve">Unternehmen</w:t>
      </w:r>
    </w:p>
    <w:p>
      <w:r>
        <w:t xml:space="preserve">natürliche oder juristische Person sowie Personengesellschaft, sofern sie mit der Fähigkeit ausgestattet sind, Rechte zu erwerben und Verbindlichkeiten einzugehen, und deren Bevollmächtigte, die Sportboote nach § 2 Abs. 1 Nr. 1 vermieten.</w:t>
      </w:r>
    </w:p>
    <w:p>
      <w:r>
        <w:t xml:space="preserve">(2) Soweit diese Verordnung in den §§ 5, 6 und 8 auf DIN-, EN- oder ISO-Vorschriften verweist, sind diese beim Deutschen Patent- und Markenamt archivmäßig gesichert niedergelegt. Sie sind über die Beuth Verlag GmbH, 10772 Berlin zu beziehen.</w:t>
      </w:r>
    </w:p>
    <w:p>
      <w:r>
        <w:rPr>
          <w:color w:val="555555"/>
          <w:sz w:val="17"/>
        </w:rPr>
        <w:t xml:space="preserve">Zitiervorschlag: § 2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