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LChartbootV (Brandenburg) — Geltungsbereich</w:t>
      </w:r>
    </w:p>
    <w:p>
      <w:r>
        <w:rPr>
          <w:color w:val="555555"/>
          <w:sz w:val="18"/>
        </w:rPr>
        <w:t xml:space="preserve">Verordnung zum Führen von Charterbooten ohne Fahrerlaubnis auf ausgewählten schiffbaren Gewässern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das Vermieten und Mieten von unter § 2 Abs. 1 Nr. 1 definierten Sportbooten zur Teilnahme am Verkehr auf den in Anlage 1 genannten schiffbaren Landesgewässern.</w:t>
      </w:r>
    </w:p>
    <w:p>
      <w:r>
        <w:rPr>
          <w:color w:val="555555"/>
          <w:sz w:val="17"/>
        </w:rPr>
        <w:t xml:space="preserve">Zitiervorschlag: § 1 LChartbootV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https://recht.nulegal.eu/gesetze/LChartbootV/1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