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LBlindG (Sachsen) — Kosten</w:t>
      </w:r>
    </w:p>
    <w:p>
      <w:r>
        <w:rPr>
          <w:color w:val="555555"/>
          <w:sz w:val="18"/>
        </w:rPr>
        <w:t xml:space="preserve">Landesblindengeldgesetz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Aufwendungen für die Leistungen nach diesem Gesetz trägt der Freistaat Sachsen. An den Ausgaben zum Blindengeld gemäß § 2 Abs. 1 Satz 1 beteiligt sich der Kommunale Sozialverband Sachsen zur Hälfte. Den Landkreisen und Kreisfreien Städten wird zur Erfüllung der Aufgaben nach diesem Gesetz der sich nach den Sätzen 1 und 2 ergebende Landesanteil zweckgebunden zur Bewirtschaftung übertragen.</w:t>
      </w:r>
    </w:p>
    <w:p>
      <w:r>
        <w:rPr>
          <w:color w:val="555555"/>
          <w:sz w:val="17"/>
        </w:rPr>
        <w:t xml:space="preserve">Zitiervorschlag: § 9 LBlindG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https://recht.nulegal.eu/gesetze/LBlindG/9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