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LBlindG (Sachsen) — In-Kraft-Treten und Außer-Kraft-Treten</w:t>
      </w:r>
    </w:p>
    <w:p>
      <w:r>
        <w:rPr>
          <w:color w:val="555555"/>
          <w:sz w:val="18"/>
        </w:rPr>
        <w:t xml:space="preserve">Landesblindengeldgesetz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Dieses Gesetz tritt am 1. Januar 2002 in Kraft. Gleichzeitig tritt das Gesetz über die Gewährung eines Landesblindengeldes und anderer Nachteilsausgleiche vom 11. Februar 1992 (SächsGVBl. S. 53), zuletzt geändert durch Artikel 52 des Gesetzes vom 28. Juni 2001 (SächsGVBl. S. 426, 431), außer Kraft.</w:t>
      </w:r>
    </w:p>
    <w:p>
      <w:r>
        <w:t xml:space="preserve">Das vorstehende Gesetz wird hiermit ausgefertigt und ist zu verkünden.</w:t>
      </w:r>
    </w:p>
    <w:p>
      <w:r>
        <w:t xml:space="preserve">Dresden, den 14. Dezember 2001</w:t>
      </w:r>
    </w:p>
    <w:p>
      <w:r>
        <w:t xml:space="preserve">Der Landtagspräsident</w:t>
      </w:r>
    </w:p>
    <w:p>
      <w:r>
        <w:t xml:space="preserve">Erich Iltgen</w:t>
      </w:r>
    </w:p>
    <w:p>
      <w:r>
        <w:t xml:space="preserve">Der Ministerpräsident</w:t>
      </w:r>
    </w:p>
    <w:p>
      <w:r>
        <w:t xml:space="preserve">Prof. Dr. Kurt Biedenkopf</w:t>
      </w:r>
    </w:p>
    <w:p>
      <w:r>
        <w:t xml:space="preserve">Der Staatsminister für Soziales,</w:t>
      </w:r>
    </w:p>
    <w:p>
      <w:r>
        <w:t xml:space="preserve">Gesundheit, Jugend und Familie</w:t>
      </w:r>
    </w:p>
    <w:p>
      <w:r>
        <w:t xml:space="preserve">Dr. Hans Geisler</w:t>
      </w:r>
    </w:p>
    <w:p>
      <w:r>
        <w:rPr>
          <w:color w:val="555555"/>
          <w:sz w:val="17"/>
        </w:rPr>
        <w:t xml:space="preserve">Zitiervorschlag: § 11 LBlindG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https://recht.nulegal.eu/gesetze/LBlindG/11</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