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LBlindG (Sachsen) — Berechtigte</w:t>
      </w:r>
    </w:p>
    <w:p>
      <w:r>
        <w:rPr>
          <w:color w:val="555555"/>
          <w:sz w:val="18"/>
        </w:rPr>
        <w:t xml:space="preserve">Landesblindengeldgesetz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Blinde, hochgradig sehbehinderte und gehörlose Menschen und schwerstbehinderte Kinder, die das erste Lebensjahr vollendet haben und im Freistaat Sachsen ihren Wohnsitz oder gewöhnlichen Aufenthalt haben oder nach der Verordnung VO (EG) Nr. 883/2004 des Europäischen Parlaments und des Rates vom 29. April 2004 zur Koordinierung der Systeme der so­zialen Sicherheit (ABl. L 166 vom 30. April 2004, S. 1, L 200 S. 1, L 204 vom 4. August 2007, S. 30), geändert durch die Verordnung (EG) Nr. 988/2009 (ABl. L 284 vom 30. Oktober 2009, S. 43), in der jeweils geltenden Fassung, anspruchsberechtigt sind, erhalten zum Ausgleich ihrer behinderungsbedingten Mehraufwendungen Leistungen nach diesem Gesetz.</w:t>
      </w:r>
    </w:p>
    <w:p>
      <w:r>
        <w:t xml:space="preserve">(2) Blind ist, wem das Augenlicht vollständig fehlt. Als blind gelten auch Personen,</w:t>
      </w:r>
    </w:p>
    <w:p>
      <w:r>
        <w:t xml:space="preserve">1. deren Sehschärfe auf keinem Auge und auch nicht bei beidäugiger Prüfung mehr als ein Fünfzigstel beträgt oder</w:t>
      </w:r>
    </w:p>
    <w:p>
      <w:r>
        <w:t xml:space="preserve">2. bei denen durch Nummer 1 nicht erfasste, nicht nur vorübergehende Störungen des Sehvermögens von einem solchen Schweregrad vorliegen, dass sie der Beeinträchtigung der Sehschärfe nach Nummer 1 gleichzusetzen sind.</w:t>
      </w:r>
    </w:p>
    <w:p>
      <w:r>
        <w:t xml:space="preserve">(3) Hochgradig sehbehindert sind Personen,</w:t>
      </w:r>
    </w:p>
    <w:p>
      <w:r>
        <w:t xml:space="preserve">1. deren Sehschärfe auf keinem Auge und auch nicht bei beidäugiger Prüfung mehr als ein Zwanzigstel beträgt oder</w:t>
      </w:r>
    </w:p>
    <w:p>
      <w:r>
        <w:t xml:space="preserve">2. bei denen durch Nummer 1 nicht erfasste, gleichschwere Störungen der Sehfunktion vorliegen. Dies ist dann der Fall, wenn die Einschränkung des Sehvermögens einen Grad der Behinderung von 100 bedingt und Blindheit noch nicht vorliegt.</w:t>
      </w:r>
    </w:p>
    <w:p>
      <w:r>
        <w:t xml:space="preserve">(4) Gehörlos im Sinne dieses Gesetzes sind Personen mit angeborener oder bis zum siebenten Lebensjahr erworbener Taubheit oder an Taubheit grenzender Schwerhörigkeit, wenn bei ihnen allein wegen der Taubheit und wegen der mit der Taubheit einhergehenden schweren Störung des Spracherwerbs ein Grad der Behinderung von 100 festgestellt ist. Personen, die erst später die Taubheit oder an Taubheit grenzende Schwerhörigkeit erworben haben, gelten nur dann als gehörlos, wenn bei ihnen allein wegen der Taubheit und der mit der Taubheit einhergehenden schweren Sprachstörung ein Grad der Behinderung von 100 festgestellt ist.</w:t>
      </w:r>
    </w:p>
    <w:p>
      <w:r>
        <w:t xml:space="preserve">(5) Taubblind im Sinne dieses Gesetzes sind Personen, bei denen durch das Verfahren auf Feststellung des Grades der Behinderung das Merkzeichen „TBl“ festgestellt ist.</w:t>
      </w:r>
    </w:p>
    <w:p>
      <w:r>
        <w:t xml:space="preserve">(6) Schwerstbehinderte Kinder im Sinne dieses Gesetzes sind Personen, die das 18. Lebensjahr noch nicht vollendet haben und bei denen ein Grad der Behinderung von 100 festgestellt ist.</w:t>
      </w:r>
    </w:p>
    <w:p>
      <w:r>
        <w:rPr>
          <w:color w:val="555555"/>
          <w:sz w:val="17"/>
        </w:rPr>
        <w:t xml:space="preserve">Zitiervorschlag: § 1 LBlindG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https://recht.nulegal.eu/gesetze/LBlindG/1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