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LBesG NRW (Nordrhein-Westfalen)</w:t>
      </w:r>
    </w:p>
    <w:p>
      <w:r>
        <w:rPr>
          <w:color w:val="555555"/>
          <w:sz w:val="18"/>
        </w:rPr>
        <w:t xml:space="preserve">Landesbesoldungsgesetz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14. Juni 2016</w:t>
      </w:r>
    </w:p>
    <w:p>
      <w:r>
        <w:t xml:space="preserve">(Artikel 2 des Gesetzes vom 14. Juni 2016 (GV. NRW. S. 310))</w:t>
      </w:r>
    </w:p>
    <w:p>
      <w:r>
        <w:rPr>
          <w:color w:val="555555"/>
          <w:sz w:val="17"/>
        </w:rPr>
        <w:t xml:space="preserve">Zitiervorschlag: Eingangsformel LBesG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https://recht.nulegal.eu/gesetze/LBesG%20NRW/eingangsformel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