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93 LBesG NRW (Nordrhein-Westfalen) — Inkrafttreten, Außerkrafttreten</w:t>
      </w:r>
    </w:p>
    <w:p>
      <w:r>
        <w:rPr>
          <w:color w:val="555555"/>
          <w:sz w:val="18"/>
        </w:rPr>
        <w:t xml:space="preserve">Landesbesoldungsgesetz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2016 in Kraft. Gleichzeitig tritt das Landesbesoldungsgesetz in der Fassung der Bekanntmachung vom 17. Februar 2005 (GV. NRW. S. 154), das zuletzt durch Artikel 2 des Gesetzes vom 2. Oktober 2014 (GV. NRW. S. 624) geändert worden ist, außer Kraft.</w:t>
      </w:r>
    </w:p>
    <w:p>
      <w:r>
        <w:rPr>
          <w:color w:val="555555"/>
          <w:sz w:val="17"/>
        </w:rPr>
        <w:t xml:space="preserve">Zitiervorschlag: § 93 LBesG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https://recht.nulegal.eu/gesetze/LBesG%20NRW/93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