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92 LBesG NRW (Nordrhein-Westfalen) — Fortgeltung von Rechtsverordnungen</w:t>
      </w:r>
    </w:p>
    <w:p>
      <w:r>
        <w:rPr>
          <w:color w:val="555555"/>
          <w:sz w:val="18"/>
        </w:rPr>
        <w:t xml:space="preserve">Landesbesoldungsgesetz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Folgende durch § 1 Absatz 2 Nummer 2 des Landesbesoldungsgesetzes in der Fassung vom 16. Mai 2013 (GV. NRW. S. 234) in Landesrecht übergeleitete, auf Grund des Bundesbesoldungsgesetzes erlassene Rechtsverordnungen des Bundes jeweils in der am 31. August 2006 geltenden Fassung gelten bis zum Inkrafttreten jeweiliger neuer Rechtsverordnungen fort, soweit sich aus diesem Gesetz oder auf Grund sonstiger landesrechtlicher Bestimmungen nichts anderes ergibt; unberührt bleiben landesrechtliche Bestimmungen, die seit dem 1. September 2006 erlassen wurden:</w:t>
      </w:r>
    </w:p>
    <w:p>
      <w:r>
        <w:t xml:space="preserve">1. Zweite Besoldungs-Übergangsverordnung in der Fassung der Bekanntmachung vom 27. November 1997 (BGBl. I S. 2764), die zuletzt durch Artikel 258 der Verordnung vom 25. November 2003 (BGBl. I S. 2304) geändert worden ist,</w:t>
      </w:r>
    </w:p>
    <w:p>
      <w:r>
        <w:t xml:space="preserve">2. Erschwerniszulagenverordnung in der Fassung der Bekanntmachung vom 3. Dezember 1998 (BGBl. I S. 3497), die zuletzt durch Artikel 67 des Gesetzes vom 21. Juni 2005 (BGBl. I S. 1818) geändert worden ist,</w:t>
      </w:r>
    </w:p>
    <w:p>
      <w:r>
        <w:t xml:space="preserve">3. Verordnung über die Gewährung von Mehrarbeitsvergütung für Beamte in der Fassung der Bekanntmachung vom 3. Dezember 1998 (BGBl. I S. 3494), die zuletzt durch Artikel 2 des Gesetzes vom 9. November 2004 (BGBl. I S. 2774) geändert worden ist,</w:t>
      </w:r>
    </w:p>
    <w:p>
      <w:r>
        <w:t xml:space="preserve">4. Vollstreckungsvergütungsverordnung in der Fassung der Bekanntmachung vom 6. Januar 2003 (BGBl. I S. 8),</w:t>
      </w:r>
    </w:p>
    <w:p>
      <w:r>
        <w:t xml:space="preserve">5. Verordnung über die Gewährung einer Unterrichtsvergütung für Lehramtsanwärter vom 18. Juli 1976 (BGBl. I S. 1828), die durch Artikel 6 der Verordnung vom 8. August 2002 (BGBl. I S. 3177) geändert worden ist,</w:t>
      </w:r>
    </w:p>
    <w:p>
      <w:r>
        <w:t xml:space="preserve">6. Übergangszahlungsverordnung vom 23. Juli 1975 (BGBl. I S. 1982), die durch Artikel 14 des Gesetzes vom 23. Dezember 2003 (BGBl. I S. 2848) geändert worden ist,</w:t>
      </w:r>
    </w:p>
    <w:p>
      <w:r>
        <w:t xml:space="preserve">7. Kommunalbesoldungsverordnung des Bundes vom 7. April 1978 (BGBl. I S. 468), die zuletzt durch Verordnung vom 19. Oktober 2001 (BGBl. I S. 2697) geändert worden ist,</w:t>
      </w:r>
    </w:p>
    <w:p>
      <w:r>
        <w:t xml:space="preserve">8. Sparkassenbesoldungsverordnung des Bundes vom 16. Juni 1976 (BGBl. I S. 1588), die durch Verordnung vom 22. Juni 1983 (BGBl. I S. 732) geändert worden ist,</w:t>
      </w:r>
    </w:p>
    <w:p>
      <w:r>
        <w:t xml:space="preserve">9. Werkleiterbesoldungsverordnung des Bundes vom 16. Juni 1976 (BGBl. I S. 1585), die durch Verordnung vom 22. Juni 1983 (BGBl. I S. 731) geändert worden ist,</w:t>
      </w:r>
    </w:p>
    <w:p>
      <w:r>
        <w:t xml:space="preserve">10. Verordnung zu § 26 Abs. 4 Nr. 4 des Bundesbesoldungsgesetzes vom 8. Juni 1976 (BGBl. I S. 1468),</w:t>
      </w:r>
    </w:p>
    <w:p>
      <w:r>
        <w:t xml:space="preserve">11. Hochschulleitungs-Stellenzulagenverordnung vom 3. August 1977 (BGBl. I S. 1527) und die</w:t>
      </w:r>
    </w:p>
    <w:p>
      <w:r>
        <w:t xml:space="preserve">12. Verordnung zur Überleitung in die im Zweiten Gesetz zur Vereinheitlichung und Neuregelung des Besoldungsrechts in Bund und Ländern geregelten Ämter und über die künftig wegfallenden Ämter vom 1. Oktober 1975 (BGBl. I S. 2608), die zuletzt durch Gesetz vom 25. September 1990 (BGBl. I S. 2106) geändert worden ist.</w:t>
      </w:r>
    </w:p>
    <w:p>
      <w:r>
        <w:t xml:space="preserve">(2) Soweit nach diesem Gesetz die Landesregierung oder eine andere Stelle ermächtigt ist, durch Rechtsverordnung bestimmte Bereiche zu regeln, bleiben die bisherigen Rechtsverordnungen der Landesregierung oder einer anderen Stelle des Landes bis zum Inkrafttreten der jeweiligen neuen Rechtsverordnung in Kraft.</w:t>
      </w:r>
    </w:p>
    <w:p>
      <w:r>
        <w:rPr>
          <w:color w:val="555555"/>
          <w:sz w:val="17"/>
        </w:rPr>
        <w:t xml:space="preserve">Zitiervorschlag: § 92 LBesG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https://recht.nulegal.eu/gesetze/LBesG%20NRW/92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