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LBesG NRW (Nordrhein-Westfalen) — Anpassung der Besoldung</w:t>
      </w:r>
    </w:p>
    <w:p>
      <w:r>
        <w:rPr>
          <w:color w:val="555555"/>
          <w:sz w:val="18"/>
        </w:rPr>
        <w:t xml:space="preserve">Landesbesoldungsgesetz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Besoldung wird entsprechend der Entwicklung der allgemeinen wirtschaftlichen und finanziellen Verhältnisse und unter Berücksichtigung der mit den Dienstaufgaben verbundenen Verantwortung durch Gesetz regelmäßig angepasst.</w:t>
      </w:r>
    </w:p>
    <w:p>
      <w:r>
        <w:rPr>
          <w:color w:val="555555"/>
          <w:sz w:val="17"/>
        </w:rPr>
        <w:t xml:space="preserve">Zitiervorschlag: § 16 LBesG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https://recht.nulegal.eu/gesetze/LBesG%20NRW/16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LBesG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