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LBerBezV (Bayern)</w:t>
      </w:r>
    </w:p>
    <w:p>
      <w:r>
        <w:rPr>
          <w:color w:val="555555"/>
          <w:sz w:val="18"/>
        </w:rPr>
        <w:t xml:space="preserve">Lehrerberufsbezeichnungsverordnung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59 Abs. 4, Art. 97 Abs. 2 und Art. 128 Abs. 1 des Bayerischen Gesetzes über das Erziehungs- und Unterrichtswesen (BayEUG) in der Fassung der Bekanntmachung vom 31. Mai 2000 (GVBl S. 414, ber. S. 632, BayRS 2230-1-1-UK), zuletzt geändert durch Gesetz vom 20. Juli 2011 (GVBl S. 313), erlässt das Bayerische Staatsministerium für Unterricht und Kultus folgende Verordnung:</w:t>
      </w:r>
    </w:p>
    <w:p>
      <w:r>
        <w:rPr>
          <w:color w:val="555555"/>
          <w:sz w:val="17"/>
        </w:rPr>
        <w:t xml:space="preserve">Zitiervorschlag: Eingangsformel LBerBezV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https://recht.nulegal.eu/gesetze/LBerBezV/eingangsformel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