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LBerBezV (Bayern)</w:t>
      </w:r>
    </w:p>
    <w:p>
      <w:r>
        <w:rPr>
          <w:color w:val="555555"/>
          <w:sz w:val="18"/>
        </w:rPr>
        <w:t xml:space="preserve">Lehrerberufsbezeichnungsverordnung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November 2011 in Kraft. Die Verordnung über die Berufsbezeichnungen der Lehrkräfte an Ersatzschulen vom 31. März 1960 (BayRS 2237-3-UK), zuletzt geändert durch Verordnung vom 12. Mai 2007 (GVBl S. 356), tritt mit Ablauf des 31. Oktober 2011 außer Kraft.</w:t>
      </w:r>
    </w:p>
    <w:p>
      <w:r>
        <w:rPr>
          <w:color w:val="555555"/>
          <w:sz w:val="17"/>
        </w:rPr>
        <w:t xml:space="preserve">Zitiervorschlag: § 4 LBerBezV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https://recht.nulegal.eu/gesetze/LBerBezV/4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