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LBRV (Bayern)</w:t>
      </w:r>
    </w:p>
    <w:p>
      <w:r>
        <w:rPr>
          <w:color w:val="555555"/>
          <w:sz w:val="18"/>
        </w:rPr>
        <w:t xml:space="preserve">Landesbehindertenratsverordnung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14. Januar 2005</w:t>
      </w:r>
    </w:p>
    <w:p>
      <w:r>
        <w:t xml:space="preserve">Bayerisches Staatsministerium</w:t>
      </w:r>
    </w:p>
    <w:p>
      <w:r>
        <w:t xml:space="preserve">für Arbeit und Sozialordnung,</w:t>
      </w:r>
    </w:p>
    <w:p>
      <w:r>
        <w:t xml:space="preserve">Familie und Frauen</w:t>
      </w:r>
    </w:p>
    <w:p>
      <w:r>
        <w:t xml:space="preserve">Christa Stewens, Staatsministerin</w:t>
      </w:r>
    </w:p>
    <w:p>
      <w:r>
        <w:rPr>
          <w:color w:val="555555"/>
          <w:sz w:val="17"/>
        </w:rPr>
        <w:t xml:space="preserve">Zitiervorschlag: Schlussformel LBRV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https://recht.nulegal.eu/gesetze/LBRV/schlussformel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