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LBRV (Bayern) — Entschädigungsregelung</w:t>
      </w:r>
    </w:p>
    <w:p>
      <w:r>
        <w:rPr>
          <w:color w:val="555555"/>
          <w:sz w:val="18"/>
        </w:rPr>
        <w:t xml:space="preserve">Landesbehindertenratsverordnung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Mitglieder nach § 2 Satz 2 und ihre Stellvertreterinnen und Stellvertreter erhalten für die Teilnahme an Sitzungen auf Antrag Fahrtkostenerstattung für Fahrten mit öffentlichen Verkehrsmitteln (2. Klasse). Die Erstattung eines behinderungsbedingten Fahrtkosten-Mehraufwandes kann beantragt werden. Die Erstattung erfolgt durch den Freistaat Bayern.</w:t>
      </w:r>
    </w:p>
    <w:p>
      <w:r>
        <w:rPr>
          <w:color w:val="555555"/>
          <w:sz w:val="17"/>
        </w:rPr>
        <w:t xml:space="preserve">Zitiervorschlag: § 6 LBRV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https://recht.nulegal.eu/gesetze/LBRV/6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