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LBRV (Bayern) — Beschlussfassung</w:t>
      </w:r>
    </w:p>
    <w:p>
      <w:r>
        <w:rPr>
          <w:color w:val="555555"/>
          <w:sz w:val="18"/>
        </w:rPr>
        <w:t xml:space="preserve">Landesbehindertenratsverordnung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Landesbehindertenrat fasst seine Anregungen und Empfehlungen durch Mehrheitsbeschluss.</w:t>
      </w:r>
    </w:p>
    <w:p>
      <w:r>
        <w:t xml:space="preserve">(2) Der Landesbehindertenrat ist beschlussfähig, wenn alle Mitglieder ordnungsgemäß geladen sind und mehr als die Hälfte der Mitglieder anwesend ist.</w:t>
      </w:r>
    </w:p>
    <w:p>
      <w:r>
        <w:t xml:space="preserve">(3) Jedes Mitglied hat eine Stimme.</w:t>
      </w:r>
    </w:p>
    <w:p>
      <w:r>
        <w:t xml:space="preserve">(4) Der Landesbehindertenrat beschließt mit einfacher Mehrheit der anwesenden Mitglieder. Bei Stimmengleichheit entscheidet die Stimme des Vorsitz führenden Mitglieds.</w:t>
      </w:r>
    </w:p>
    <w:p>
      <w:r>
        <w:t xml:space="preserve">(5) Beschlüsse werden in der Regel offen gefasst. Auf Antrag von mindestens einem Drittel der anwesenden Mitglieder erfolgt die Beschlussfassung in geheimer Abstimmung.</w:t>
      </w:r>
    </w:p>
    <w:p>
      <w:r>
        <w:rPr>
          <w:color w:val="555555"/>
          <w:sz w:val="17"/>
        </w:rPr>
        <w:t xml:space="preserve">Zitiervorschlag: § 5 LBRV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https://recht.nulegal.eu/gesetze/LBRV/5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