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LBRV (Bayern) — Sitzungen</w:t>
      </w:r>
    </w:p>
    <w:p>
      <w:r>
        <w:rPr>
          <w:color w:val="555555"/>
          <w:sz w:val="18"/>
        </w:rPr>
        <w:t xml:space="preserve">Landesbehindertenratsverordnung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Landesbehindertenrat tritt zusammen, wenn das vorsitzende Mitglied dies für geboten hält oder wenn die Mehrheit der Mitglieder dies beantragt, mindestens jedoch einmal im Kalenderjahr.</w:t>
      </w:r>
    </w:p>
    <w:p>
      <w:r>
        <w:t xml:space="preserve">(2) Die Sitzungen sind nicht öffentlich.</w:t>
      </w:r>
    </w:p>
    <w:p>
      <w:r>
        <w:rPr>
          <w:color w:val="555555"/>
          <w:sz w:val="17"/>
        </w:rPr>
        <w:t xml:space="preserve">Zitiervorschlag: § 4 LBRV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https://recht.nulegal.eu/gesetze/LBRV/4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