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LBRV (Bayern) — Ende der Mitgliedschaft</w:t>
      </w:r>
    </w:p>
    <w:p>
      <w:r>
        <w:rPr>
          <w:color w:val="555555"/>
          <w:sz w:val="18"/>
        </w:rPr>
        <w:t xml:space="preserve">Landesbehindertenratsverordnung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Mitgliedschaft endet</w:t>
      </w:r>
    </w:p>
    <w:p>
      <w:r>
        <w:t xml:space="preserve">1. im Fall der vorsitzenden Person</w:t>
      </w:r>
    </w:p>
    <w:p>
      <w:r>
        <w:t xml:space="preserve">– mit dem Ausscheiden aus dem Amt</w:t>
      </w:r>
    </w:p>
    <w:p>
      <w:r>
        <w:t xml:space="preserve">2. im Fall der beauftragten Person der Bayerischen Staatsregierung für die Belange von Menschen mit Behinderung</w:t>
      </w:r>
    </w:p>
    <w:p>
      <w:r>
        <w:t xml:space="preserve">– mit dem Ausscheiden aus dem Amt</w:t>
      </w:r>
    </w:p>
    <w:p>
      <w:r>
        <w:t xml:space="preserve">3. im Fall der weiteren Mitglieder</w:t>
      </w:r>
    </w:p>
    <w:p>
      <w:r>
        <w:t xml:space="preserve">– durch Abberufung aus wichtigem Grund durch den entsendenden Verband,</w:t>
      </w:r>
    </w:p>
    <w:p>
      <w:r>
        <w:t xml:space="preserve">– durch schriftliche Niederlegung der Mitgliedschaft,</w:t>
      </w:r>
    </w:p>
    <w:p>
      <w:r>
        <w:t xml:space="preserve">– durch Zurücknahme der Berufung durch das Staatsministerium für Familie, Arbeit und Soziales; hierfür ist das Einvernehmen mit der entsendenden Stelle herbeizuführen oder</w:t>
      </w:r>
    </w:p>
    <w:p>
      <w:r>
        <w:t xml:space="preserve">– durch Beendigung der Mitgliedschaft im entsendenden Verband oder Ausscheiden aus dem Amt als kommunale Behindertenbeauftragte oder kommunaler Behindertenbeauftragter.</w:t>
      </w:r>
    </w:p>
    <w:p>
      <w:r>
        <w:t xml:space="preserve">(2) Für die stellvertretenden Personen gelten die Regelungen des Abs. 1 über das Ende der Mitgliedschaft entsprechend.</w:t>
      </w:r>
    </w:p>
    <w:p>
      <w:r>
        <w:rPr>
          <w:color w:val="555555"/>
          <w:sz w:val="17"/>
        </w:rPr>
        <w:t xml:space="preserve">Zitiervorschlag: § 3 LBRV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https://recht.nulegal.eu/gesetze/LBRV/3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