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Klage ist innerhalb von zwei Monaten zu erheben.</w:t>
      </w:r>
    </w:p>
    <w:p>
      <w:r>
        <w:t xml:space="preserve">(2) Die Frist beginnt, sofern die Entschädigung für eine Besitzeinweisung den Gegenstand der Klage bildet, erst mit dem Ende des Tages, an dem der Besitzeinweisungsbeschluß mit einer Anfechtungsklage vor dem Verwaltungsgericht nicht mehr angefochten werden kann oder an dem über die erhobene Anfechtungsklage rechtskräftig entschieden ist. In anderen Fällen beginnt die Frist mit dem Tag, an dem die Mitteilung über die Unanfechtbarkeit des Teils A des Enteignungsbeschlusses den Beteiligten zugestellt ist.</w:t>
      </w:r>
    </w:p>
    <w:p>
      <w:r>
        <w:t xml:space="preserve">(3) Die Frist ist eine Notfrist im Sinne der Zivilprozeßordnung.</w:t>
      </w:r>
    </w:p>
    <w:p>
      <w:r>
        <w:rPr>
          <w:color w:val="555555"/>
          <w:sz w:val="17"/>
        </w:rPr>
        <w:t xml:space="preserve">Zitiervorschlag: § 61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