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infolge von Landbeschaffungen Änderungen oder Neuordnungen von Gemeinde-, Schul- oder Kirchenverhältnissen oder von Anlagen im öffentlichen Interesse erforderlich, so trägt der Erwerber insoweit die Kosten, als die den öffentlich-rechtlichen Körperschaften, Anstalten und Stiftungen entstehenden Lasten und Nachteile nicht durch Vorteile ausgeglichen werden. § 4 Abs. 3 gilt sinngemäß.</w:t>
      </w:r>
    </w:p>
    <w:p>
      <w:r>
        <w:t xml:space="preserve">(2) Werden infolge von Landbeschaffungen zur Beseitigung eines dringenden Wohnraumbedarfs Neubauten erforderlich, so hat der Bund die Erstellung des angemessenen Wohnraums zu gewährleisten.</w:t>
      </w:r>
    </w:p>
    <w:p>
      <w:r>
        <w:rPr>
          <w:color w:val="555555"/>
          <w:sz w:val="17"/>
        </w:rPr>
        <w:t xml:space="preserve">Zitiervorschlag: § 6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