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LBG</w:t>
      </w:r>
    </w:p>
    <w:p>
      <w:r>
        <w:rPr>
          <w:color w:val="555555"/>
          <w:sz w:val="18"/>
        </w:rPr>
        <w:t xml:space="preserve">Landbeschaffungsgesetz</w:t>
      </w:r>
    </w:p>
    <w:p>
      <w:r>
        <w:rPr>
          <w:color w:val="555555"/>
          <w:sz w:val="18"/>
        </w:rPr>
        <w:t xml:space="preserve">Stand: 10.06.2019 (konsolidierte Textfassung, kein amtliches Inkrafttretensdatum)</w:t>
      </w:r>
    </w:p>
    <w:p>
      <w:r>
        <w:t xml:space="preserve">Entstehen nach Erlaß des Enteignungsbeschlusses Vermögensnachteile der in § 19 bezeichneten Art, für die eine Entschädigung im Enteignungsbeschluß nicht festgesetzt werden konnte, so ist auf Antrag des Entschädigungsberechtigten von der Enteignungsbehörde eine Entschädigung hierfür nachträglich festzusetzen, sofern eine Einigung nicht zustande kommt. Der Antrag kann nur binnen zehn Jahren nach der Unanfechtbarkeit des Enteignungsbeschlusses gestellt werden. Für den Festsetzungsbescheid gilt § 48 Abs. 1 sinngemäß.</w:t>
      </w:r>
    </w:p>
    <w:p>
      <w:r>
        <w:rPr>
          <w:color w:val="555555"/>
          <w:sz w:val="17"/>
        </w:rPr>
        <w:t xml:space="preserve">Zitiervorschlag: § 55 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https://recht.nulegal.eu/gesetze/LBG/55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