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Stehen Verkehrs-, Telekommunikations- oder Versorgungseinrichtungen und -anlagen sowie Einrichtungen und Anlagen der Abwasserwirtschaft infolge der Landbeschaffung nicht mehr zur Verfügung und ist ihr Ersatz oder ihre Verlegung erforderlich, so hat der Erwerber dem Träger der Aufgabe die Kosten des Ersatzes oder der Verlegung zu erstatten. Vorteile und Nachteile, die dem Träger der Aufgabe im Zusammenhang mit dem Ersatz oder der Verlegung entstehen, sind angemessen auszugleichen. Die zuständige Behörde (§ 8) setzt die Höhe der Kosten fest.</w:t>
      </w:r>
    </w:p>
    <w:p>
      <w:r>
        <w:t xml:space="preserve">(2) Unbeschadet der Verpflichtungen des Erwerbers nach Landesrecht oder kommunalen Satzungen kann sich der Bund an sonstigen Aufwendungen, die durch Vorkehrungen im öffentlichen Interesse entstehen, beteiligen.</w:t>
      </w:r>
    </w:p>
    <w:p>
      <w:r>
        <w:rPr>
          <w:color w:val="555555"/>
          <w:sz w:val="17"/>
        </w:rPr>
        <w:t xml:space="preserve">Zitiervorschlag: § 5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