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Der Beschluß ist den Beteiligten zuzustellen. Die Zustellung eines den jeweiligen Beteiligten betreffenden Auszugs genügt. Der Teil des Beschlusses über die Entschädigung ist jedem, der einen Anspruch hat oder geltend macht, zuzustellen. Der Beschluß ist mit einer Rechtsmittelbelehrung zu versehen.</w:t>
      </w:r>
    </w:p>
    <w:p>
      <w:r>
        <w:t xml:space="preserve">(2) Ist im Grundbuch die Anordnung der Zwangsversteigerung oder der Zwangsverwaltung eingetragen, so gibt die Enteignungsbehörde dem Vollstreckungsgericht von dem Beschluß Kenntnis.</w:t>
      </w:r>
    </w:p>
    <w:p>
      <w:r>
        <w:rPr>
          <w:color w:val="555555"/>
          <w:sz w:val="17"/>
        </w:rPr>
        <w:t xml:space="preserve">Zitiervorschlag: § 48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