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Kommt eine Einigung über die Entschädigung nicht zustande, so findet zur Festsetzung einer Geldentschädigung, einer Naturalwertrente (§ 25), einer zusätzlichen Geldentschädigung (§ 24 Satz 1) oder einer Ausgleichszahlung (§ 24 Satz 2) das Entschädigungsverfahren statt.</w:t>
      </w:r>
    </w:p>
    <w:p>
      <w:r>
        <w:t xml:space="preserve">(2) Die Enteignungsbehörde hat die Entschädigung in einem nötigenfalls an Ort und Stelle abzuhaltenden Termin (Entschädigungstermin) mit den Beteiligten zu erörtern. Das Entschädigungsverfahren ist möglichst mit dem Planprüfungsverfahren zu verbinden.</w:t>
      </w:r>
    </w:p>
    <w:p>
      <w:r>
        <w:t xml:space="preserve">(3) Zum Termin sind die Beteiligten zu laden. Die Ladungsfrist beträgt zwei Wochen. § 33 Abs. 4 ist anzuwenden; auf den Inhalt dieser Vorschrift ist in der Ladung hinzuweisen.</w:t>
      </w:r>
    </w:p>
    <w:p>
      <w:r>
        <w:t xml:space="preserve">(4) § 33 Abs. 6 ist sinngemäß anzuwenden.</w:t>
      </w:r>
    </w:p>
    <w:p>
      <w:r>
        <w:rPr>
          <w:color w:val="555555"/>
          <w:sz w:val="17"/>
        </w:rPr>
        <w:t xml:space="preserve">Zitiervorschlag: § 44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