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Besitzeinweisungsbeschluß ist aufzuheben, wenn nicht binnen eines Jahres, nachdem die Besitzeinweisung wirksam geworden ist (§ 39 Abs. 1 Nr. 5), der Enteignungsbeschluß erlassen wird. Kann der Enteignungsbeschluß aus besonderen, durch das Verfahren bedingten Umständen nicht binnen der in Satz 1 bestimmten Frist ergehen, so ist die Enteignungsbehörde befugt, diese Frist bei weiterem Vorliegen der Voraussetzungen des § 38 Abs. 1 bis zu einem weiteren Jahr zu verlängern. Der Besitzeinweisungsbeschluß ist ferner aufzuheben oder zu ändern, wenn die Enteignungsbehörde feststellt, daß die für den Erlaß eines Besitzeinweisungsbeschlusses gemäß § 38 Abs. 1 erforderlichen Voraussetzungen nicht mehr gegeben sind.</w:t>
      </w:r>
    </w:p>
    <w:p>
      <w:r>
        <w:t xml:space="preserve">(2) Wird der Besitzeinweisungsbeschluß aufgehoben oder geändert, so hat der Bund für alle durch die vorzeitige Besitzeinweisung entstandenen besonderen Vermögensnachteile Entschädigung zu leisten oder auf Verlangen den früheren Zustand wiederherzustellen. § 30 Abs. 1 Satz 4 und Abs. 2 gilt sinngemäß.</w:t>
      </w:r>
    </w:p>
    <w:p>
      <w:r>
        <w:rPr>
          <w:color w:val="555555"/>
          <w:sz w:val="17"/>
        </w:rPr>
        <w:t xml:space="preserve">Zitiervorschlag: § 42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