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Durch die Besitzeinweisung wird zu dem im Besitzeinweisungsbeschluß bezeichneten Zeitpunkt dem Eigentümer und, wenn ein anderer unmittelbarer Besitzer ist, auch diesem der Besitz entzogen und der Eingewiesene Besitzer. Durch die Besitzeinweisung wird ein Recht zur Nutzung des Grundstücks insoweit ausgeschlossen, als die Ausübung der Nutzung mit dem Zweck der Besitzeinweisung nicht vereinbar ist.</w:t>
      </w:r>
    </w:p>
    <w:p>
      <w:r>
        <w:t xml:space="preserve">(2) Die Besitzeinweisungsentschädigung wird ohne Rücksicht darauf, ob Klage nach § 59 Abs. 1 erhoben wird, mit dem Zeitpunkt, in dem die Besitzeinweisung wirksam wird (§ 39 Abs. 1 Nr. 5), fällig. Bei einer wiederkehrenden Entschädigung wird die erste Rate zu dem in Satz 1 bezeichneten Zeitpunkt fällig.</w:t>
      </w:r>
    </w:p>
    <w:p>
      <w:r>
        <w:rPr>
          <w:color w:val="555555"/>
          <w:sz w:val="17"/>
        </w:rPr>
        <w:t xml:space="preserve">Zitiervorschlag: § 40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