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 LBG</w:t>
      </w:r>
    </w:p>
    <w:p>
      <w:r>
        <w:rPr>
          <w:color w:val="555555"/>
          <w:sz w:val="18"/>
        </w:rPr>
        <w:t xml:space="preserve">Landbeschaffungsgesetz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Besitzeinweisungsbeschluß muß enthalten</w:t>
      </w:r>
    </w:p>
    <w:p>
      <w:pPr>
        <w:ind w:left="420"/>
      </w:pPr>
      <w:r>
        <w:t xml:space="preserve">1. die Bezeichnung der durch die Besitzeinweisung Betroffenen, des Bundes als Antragsteller und des Eingewiesenen sowie des Zweckes, für den die Enteignung vorgesehen ist;</w:t>
      </w:r>
    </w:p>
    <w:p>
      <w:pPr>
        <w:ind w:left="420"/>
      </w:pPr>
      <w:r>
        <w:t xml:space="preserve">2. die Bezeichnung des Gegenstands der Besitzeinweisung; hierbei soll</w:t>
      </w:r>
    </w:p>
    <w:p>
      <w:pPr>
        <w:ind w:left="780"/>
      </w:pPr>
      <w:r>
        <w:t xml:space="preserve">a) das von der Enteignung betroffene Grundstück nach Größe, grundbuchmäßiger, katastermäßiger oder sonst üblicher Bezeichnung angegeben werden; im Fall der Enteignung eines Grundstücksteils ist bei der Besitzeinweisung die Begrenzung dieses Teiles zu beschreiben;</w:t>
      </w:r>
    </w:p>
    <w:p>
      <w:pPr>
        <w:ind w:left="780"/>
      </w:pPr>
      <w:r>
        <w:t xml:space="preserve">b) soweit ein Recht an einem Grundstück (§ 12 Abs. 1) Gegenstand einer selbständigen Enteignung sein soll, dieses nach Inhalt und grundbuchmäßiger Bezeichnung angegeben werden;</w:t>
      </w:r>
    </w:p>
    <w:p>
      <w:pPr>
        <w:ind w:left="780"/>
      </w:pPr>
      <w:r>
        <w:t xml:space="preserve">c) soweit ein sonstiges Recht im Sinne des § 12 Abs. 1 Buchstabe b Gegenstand einer selbständigen Enteignung sein soll, dieses nach seinem Inhalt und dem Grund seines Bestehens angegeben werden;</w:t>
      </w:r>
    </w:p>
    <w:p>
      <w:pPr>
        <w:ind w:left="420"/>
      </w:pPr>
      <w:r>
        <w:t xml:space="preserve">3. die Entscheidung über die gegen den Besitzeinweisungsbeschluß erhobenen Einwendungen der durch die Besitzeinweisung Betroffenen;</w:t>
      </w:r>
    </w:p>
    <w:p>
      <w:pPr>
        <w:ind w:left="420"/>
      </w:pPr>
      <w:r>
        <w:t xml:space="preserve">4. die Festsetzung einer Besitzeinweisungsentschädigung;</w:t>
      </w:r>
    </w:p>
    <w:p>
      <w:pPr>
        <w:ind w:left="420"/>
      </w:pPr>
      <w:r>
        <w:t xml:space="preserve">5. den Zeitpunkt, in dem die Besitzeinweisung wirksam wird.</w:t>
      </w:r>
    </w:p>
    <w:p>
      <w:r>
        <w:t xml:space="preserve">(2) Der Besitzeinweisungsbeschluß ist dem Betroffenen, dem Bund als Antragsteller und dem Eingewiesenen zuzustellen. Er ist mit einer Rechtsmittelbelehrung und einer Belehrung über das Antragsrecht nach § 41 zu versehen.</w:t>
      </w:r>
    </w:p>
    <w:p>
      <w:r>
        <w:rPr>
          <w:color w:val="555555"/>
          <w:sz w:val="17"/>
        </w:rPr>
        <w:t xml:space="preserve">Zitiervorschlag: § 39 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https://recht.nulegal.eu/gesetze/LBG/39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