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Ist die sofortige Ausführung eines Vorhabens und die Besitzeinweisung für die Durchführung der beabsichtigten Maßnahmen dringend geboten, so kann die Enteignungsbehörde den Begünstigten durch Beschluß in den Besitz des Grundstücks einweisen, auf das sich die vorgesehene Enteignung bezieht.</w:t>
      </w:r>
    </w:p>
    <w:p>
      <w:r>
        <w:t xml:space="preserve">(2) Der Besitzeinweisung hat eine Verhandlung mit dem Eigentümer und, wenn ein anderer durch die Besitzeinweisung betroffen wird, auch mit diesem vorauszugehen. § 33 Abs. 4 ist anzuwenden; auf diese Vorschrift ist in der Ladung hinzuweisen. Die Verhandlung kann im Planprüfungstermin stattfinden, wenn in der Ladung zum Termin ein entsprechender Hinweis enthalten war.</w:t>
      </w:r>
    </w:p>
    <w:p>
      <w:r>
        <w:t xml:space="preserve">(3) Auf Antrag des unmittelbaren Besitzers ist der Zeitpunkt, zu dem der Besitzeinweisungsbeschluß wirksam wird, auf mindestens zwei Wochen nach Zustellung des Beschlusses an ihn festzusetzen. Soweit auf dem Grundstück Wohngebäude vorhanden sind, ist der Zeitpunkt so festzusetzen, daß die angemessene anderweitige Unterbringung der durch die Besitzeinweisung Betroffenen gesichert ist. Entsprechendes gilt für die auf dem Grundstück ansässigen gewerblichen und landwirtschaftlichen Betriebe und die auf dem Grundstück vorhandenen Verkehrs-, Telekommunikations- oder Versorgungseinrichtungen und -anlagen sowie Einrichtungen und Anlagen der Abwasserwirtschaft.</w:t>
      </w:r>
    </w:p>
    <w:p>
      <w:r>
        <w:t xml:space="preserve">(4) Der Bund hat für die durch die Besitzeinweisung entstehenden Vermögensnachteile eine einmalige oder wiederkehrende Entschädigung zu leisten (Besitzeinweisungsentschädigung).</w:t>
      </w:r>
    </w:p>
    <w:p>
      <w:r>
        <w:rPr>
          <w:color w:val="555555"/>
          <w:sz w:val="17"/>
        </w:rPr>
        <w:t xml:space="preserve">Zitiervorschlag: § 38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