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Einigen sich die Beteiligten über den Übergang oder die Belastung des Eigentums an dem zu enteignenden Grundstück oder anderer in § 12 Abs. 1 Buchstabe b genannter Rechte (Teil A) und über die Höhe der Entschädigung (Teil B), so hat die Enteignungsbehörde eine Niederschrift über die Einigung aufzunehmen. Die Niederschrift muß den Erfordernissen des § 47 Abs. 3 und 4 entsprechen. Sie ist von den Beteiligten zu unterschreiben. Ein Bevollmächtigter bedarf einer öffentlich beglaubigten Vollmacht.</w:t>
      </w:r>
    </w:p>
    <w:p>
      <w:r>
        <w:t xml:space="preserve">(2) Die beurkundete Einigung (Absatz 1) steht einem unanfechtbaren Enteignungsbeschluß Teil A und Teil B gleich. § 48 Abs. 1 Satz 1 bis 3 sowie Absatz 2 ist entsprechend anzuwenden.</w:t>
      </w:r>
    </w:p>
    <w:p>
      <w:r>
        <w:t xml:space="preserve">(3) Einigen sich die Beteiligten nur über Teil A oder über Teil A und B je gesondert, so sind die Absätze 1 und 2 entsprechend anzuwenden; soweit eine Einigung nicht erzielt ist, wird das Verfahren fortgesetzt.</w:t>
      </w:r>
    </w:p>
    <w:p>
      <w:r>
        <w:rPr>
          <w:color w:val="555555"/>
          <w:sz w:val="17"/>
        </w:rPr>
        <w:t xml:space="preserve">Zitiervorschlag: § 37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