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Planprüfungstermin soll auch die Art der Entschädigung sowie darüber verhandelt werden, welche Rechte aufrechterhalten bleiben und welche Rechte erlöschen (§ 20 Abs. 1).</w:t>
      </w:r>
    </w:p>
    <w:p>
      <w:r>
        <w:t xml:space="preserve">(2) Dem Eigentümer kann eine angemessene Frist gestellt werden, innerhalb der er einen Antrag auf Entschädigung in Land (§ 22) stellen kann.</w:t>
      </w:r>
    </w:p>
    <w:p>
      <w:r>
        <w:rPr>
          <w:color w:val="555555"/>
          <w:sz w:val="17"/>
        </w:rPr>
        <w:t xml:space="preserve">Zitiervorschlag: § 35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