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 LBG</w:t>
      </w:r>
    </w:p>
    <w:p>
      <w:r>
        <w:rPr>
          <w:color w:val="555555"/>
          <w:sz w:val="18"/>
        </w:rPr>
        <w:t xml:space="preserve">Landbeschaffungsgesetz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Einwendungen, die nicht während der Fristen des § 31 Abs. 4 und des § 32 Abs. 2 vorgebracht worden sind, sind gegenüber der Enteignungsbehörde spätestens im Termin zu erheben; sie sollen nebst ihrer Begründung schriftlich im Termin vorgelegt werden. Nach diesem Zeitpunkt vorgebrachte Einwendungen und Anträge werden nicht mehr berücksichtigt; dies gilt auch für das Verfahren vor den Verwaltungsgerichten.</w:t>
      </w:r>
    </w:p>
    <w:p>
      <w:r>
        <w:t xml:space="preserve">(2) Mündliche Einwendungen sind in die Niederschrift aufzunehmen.</w:t>
      </w:r>
    </w:p>
    <w:p>
      <w:r>
        <w:rPr>
          <w:color w:val="555555"/>
          <w:sz w:val="17"/>
        </w:rPr>
        <w:t xml:space="preserve">Zitiervorschlag: § 34 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https://recht.nulegal.eu/gesetze/LBG/34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