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Soweit der Kreis der Beteiligten bekannt ist und offensichtlich eine Anordnung von Vorkehrungen im Sinne des § 26 in Verbindung mit § 4 Abs. 1 und 2 nicht in Betracht kommt, kann diesen Beteiligten gegenüber von der Aufstellung eines Plans abgesehen werden. In diesem Fall sind die Beteiligten sowie die Gemeinde und der Landkreis, in deren Bezirk die betroffenen Grundstücke liegen, besonders zu benachrichtigen. Der Benachrichtigung ist das Verzeichnis der von der Enteignung betroffenen Grundstücke mit den in § 31 Abs. 2 geforderten Angaben beizufügen.</w:t>
      </w:r>
    </w:p>
    <w:p>
      <w:r>
        <w:t xml:space="preserve">(2) In der Benachrichtigung ist eine angemessene Frist zu bestimmen, innerhalb der die Beteiligten Einwendungen gegen das Vorhaben erheben können.</w:t>
      </w:r>
    </w:p>
    <w:p>
      <w:r>
        <w:rPr>
          <w:color w:val="555555"/>
          <w:sz w:val="17"/>
        </w:rPr>
        <w:t xml:space="preserve">Zitiervorschlag: § 32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