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Wird ein Grundstück enteignet, so kann der Eigentümer verlangen, daß die Entschädigung ganz oder teilweise in Land festgesetzt wird, wenn der Eigentümer zur Aufrechterhaltung seines persönlich bewirtschafteten Betriebs oder zur Erfüllung der ihm wesensgemäß obliegenden Aufgaben auf Ersatzland angewiesen ist und das Land zu angemessenen Bedingungen beschafft und erforderlichenfalls hergerichtet werden kann.</w:t>
      </w:r>
    </w:p>
    <w:p>
      <w:r>
        <w:t xml:space="preserve">(2) Wird durch die Enteignung einem ganz oder teilweise vorübergehend verpachteten, landwirtschaftlich oder gärtnerisch genutzten Betrieb die Existenzgrundlage entzogen, so muß auf Antrag des Eigentümers Entschädigung in Land gewährt werden, wenn das Ersatzland zu angemessenen Bedingungen beschafft oder erforderlichenfalls hergerichtet werden kann und der Eigentümer das Pachtverhältnis an dem Ersatzland fortsetzt oder dem Pächter die Fortsetzung zu angemessenen Bedingungen angeboten hat.</w:t>
      </w:r>
    </w:p>
    <w:p>
      <w:r>
        <w:t xml:space="preserve">(3) Die Bedingungen für die Beschaffung von Ersatzland sind angemessen, wenn die Kosten der Beschaffung und einer etwa erforderlichen Herrichtung des Ersatzlands volkswirtschaftlich vertretbar sind. Die Herrichtung des Ersatzlands ist erforderlich, wenn und soweit ohne die Herrichtung der Zweck der Entschädigung in Land nicht erreicht werden würde.</w:t>
      </w:r>
    </w:p>
    <w:p>
      <w:r>
        <w:rPr>
          <w:color w:val="555555"/>
          <w:sz w:val="17"/>
        </w:rPr>
        <w:t xml:space="preserve">Zitiervorschlag: § 22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