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LBG</w:t>
      </w:r>
    </w:p>
    <w:p>
      <w:r>
        <w:rPr>
          <w:color w:val="555555"/>
          <w:sz w:val="18"/>
        </w:rPr>
        <w:t xml:space="preserve">Landbeschaffungsgesetz</w:t>
      </w:r>
    </w:p>
    <w:p>
      <w:r>
        <w:rPr>
          <w:color w:val="555555"/>
          <w:sz w:val="18"/>
        </w:rPr>
        <w:t xml:space="preserve">Stand: 10.06.2019 (konsolidierte Textfassung, kein amtliches Inkrafttretensdatum)</w:t>
      </w:r>
    </w:p>
    <w:p>
      <w:r>
        <w:t xml:space="preserve">Die für Zwecke des § 1 Abs. 1 benötigten Grundstücke sollen nach Möglichkeit freihändig erworben werden. Kann der beabsichtigte Zweck auch durch Begründung eines Nutzungsverhältnisses erreicht werden, so ist einem hierauf gerichteten Verlangen des Eigentümers zu entsprechen. Das Entgelt kann abweichend von den bisherigen Preisvorschriften bemessen werden.</w:t>
      </w:r>
    </w:p>
    <w:p>
      <w:r>
        <w:rPr>
          <w:color w:val="555555"/>
          <w:sz w:val="17"/>
        </w:rPr>
        <w:t xml:space="preserve">Zitiervorschlag: § 2 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