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Entschädigung wird gewährt für</w:t>
      </w:r>
    </w:p>
    <w:p>
      <w:pPr>
        <w:ind w:left="420"/>
      </w:pPr>
      <w:r>
        <w:t xml:space="preserve">1. den durch die Enteignung eintretenden Rechtsverlust (§ 18),</w:t>
      </w:r>
    </w:p>
    <w:p>
      <w:pPr>
        <w:ind w:left="420"/>
      </w:pPr>
      <w:r>
        <w:t xml:space="preserve">2. andere durch die Enteignung eintretende Vermögensnachteile (§ 19).</w:t>
      </w:r>
    </w:p>
    <w:p>
      <w:r>
        <w:t xml:space="preserve">(2) Entschädigung kann verlangen, wer in seinem Recht durch die Enteignung beeinträchtigt wird (Entschädigungsberechtigter). Vermögensvorteile, die dem Entschädigungsberechtigten infolge der Enteignung entstehen, sind bei der Festsetzung der Entschädigung zu berücksichtigen.</w:t>
      </w:r>
    </w:p>
    <w:p>
      <w:r>
        <w:t xml:space="preserve">(3) Für die Bemessung der Entschädigung ist der Zustand des Grundstücks in dem Zeitpunkt maßgebend, in dem der Enteignungsbeschluß (§ 47 Abs. 1) erlassen wird. In den Fällen der vorzeitigen Besitzeinweisung ist der Zustand in dem Zeitpunkt maßgebend, in dem sie wirksam wird (§ 39 Abs. 1 Nr. 5).</w:t>
      </w:r>
    </w:p>
    <w:p>
      <w:r>
        <w:t xml:space="preserve">(4) Geldentschädigungen außer wiederkehrenden Leistungen sind von dem in Absatz 3 bezeichneten Zeitpunkt an mit dem für zuletzt ausgegebene Hypothekenpfandbriefe auf dem Kapitalmarkt üblichen Nominalzinsfuß zu verzinsen.</w:t>
      </w:r>
    </w:p>
    <w:p>
      <w:r>
        <w:rPr>
          <w:color w:val="555555"/>
          <w:sz w:val="17"/>
        </w:rPr>
        <w:t xml:space="preserve">Zitiervorschlag: § 17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