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LBG</w:t>
      </w:r>
    </w:p>
    <w:p>
      <w:r>
        <w:rPr>
          <w:color w:val="555555"/>
          <w:sz w:val="18"/>
        </w:rPr>
        <w:t xml:space="preserve">Landbeschaffungsgesetz</w:t>
      </w:r>
    </w:p>
    <w:p>
      <w:r>
        <w:rPr>
          <w:color w:val="555555"/>
          <w:sz w:val="18"/>
        </w:rPr>
        <w:t xml:space="preserve">Stand: 10.06.2019 (konsolidierte Textfassung, kein amtliches Inkrafttretensdatum)</w:t>
      </w:r>
    </w:p>
    <w:p>
      <w:r>
        <w:t xml:space="preserve">(1) Wenn ein Recht an einem Grundstück begründet werden soll und die Begründung dieses Rechts für den Eigentümer unbillig ist, so ist er berechtigt, statt dessen die Entziehung des Eigentums an dem Grundstück zu verlangen.</w:t>
      </w:r>
    </w:p>
    <w:p>
      <w:r>
        <w:t xml:space="preserve">(2) Wenn ein räumlich oder wirtschaftlich zusammenhängender Grundbesitz nur zu einem Teil enteignet werden soll, und der Restbesitz nicht mehr entsprechend seiner bisherigen Bestimmung verwendet oder genutzt werden kann, so ist der Eigentümer berechtigt, die Ausdehnung der Enteignung auch auf den Restbesitz zu verlangen.</w:t>
      </w:r>
    </w:p>
    <w:p>
      <w:r>
        <w:rPr>
          <w:color w:val="555555"/>
          <w:sz w:val="17"/>
        </w:rPr>
        <w:t xml:space="preserve">Zitiervorschlag: § 13 LBG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